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3"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43" w:type="dxa"/>
            </w:tcMar>
            <w:vAlign w:val="center"/>
          </w:tcPr>
          <w:p>
            <w:pPr>
              <w:pStyle w:val="Normal"/>
              <w:tabs>
                <w:tab w:val="left" w:pos="851" w:leader="none"/>
              </w:tabs>
              <w:spacing w:lineRule="auto" w:line="276" w:before="0" w:after="120"/>
              <w:jc w:val="center"/>
              <w:rPr>
                <w:sz w:val="28"/>
                <w:szCs w:val="28"/>
              </w:rPr>
            </w:pPr>
            <w:r>
              <w:rPr>
                <w:rFonts w:cs="Arial" w:ascii="Arial" w:hAnsi="Arial"/>
                <w:b/>
                <w:color w:val="000000"/>
                <w:sz w:val="28"/>
                <w:szCs w:val="28"/>
              </w:rPr>
              <w:t xml:space="preserve">REFORMA DA COBERTURA CENTRAL DA </w:t>
            </w:r>
          </w:p>
          <w:p>
            <w:pPr>
              <w:pStyle w:val="Normal"/>
              <w:tabs>
                <w:tab w:val="left" w:pos="851" w:leader="none"/>
              </w:tabs>
              <w:spacing w:lineRule="auto" w:line="276" w:before="0" w:after="120"/>
              <w:jc w:val="center"/>
              <w:rPr>
                <w:sz w:val="28"/>
                <w:szCs w:val="28"/>
              </w:rPr>
            </w:pPr>
            <w:r>
              <w:rPr>
                <w:rFonts w:cs="Arial" w:ascii="Arial" w:hAnsi="Arial"/>
                <w:b/>
                <w:color w:val="000000"/>
                <w:sz w:val="28"/>
                <w:szCs w:val="28"/>
              </w:rPr>
              <w:t>EB MAR. OLIMPIO FALCONIERI DA CUNHA</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color w:val="000000"/>
          <w:sz w:val="22"/>
          <w:szCs w:val="22"/>
        </w:rPr>
        <w:t>REFORMA DA COBERTURA CENTRAL DA EB MAR. OLIMPIO FALCONIERI DA CUNHA</w:t>
      </w:r>
      <w:r>
        <w:rPr>
          <w:rFonts w:cs="Arial" w:ascii="Arial" w:hAnsi="Arial"/>
          <w:b/>
          <w:sz w:val="22"/>
          <w:szCs w:val="22"/>
        </w:rPr>
        <w:t xml:space="preserve"> l</w:t>
      </w:r>
      <w:r>
        <w:rPr>
          <w:rFonts w:cs="Arial" w:ascii="Arial" w:hAnsi="Arial"/>
          <w:sz w:val="22"/>
          <w:szCs w:val="22"/>
        </w:rPr>
        <w:t xml:space="preserve">ocalizado na </w:t>
      </w:r>
      <w:r>
        <w:rPr>
          <w:rFonts w:cs="Arial" w:ascii="Arial" w:hAnsi="Arial"/>
          <w:sz w:val="22"/>
          <w:szCs w:val="22"/>
        </w:rPr>
        <w:t>Rua Antonio Carlos P Leao, 456</w:t>
      </w:r>
      <w:r>
        <w:rPr>
          <w:rFonts w:cs="Arial" w:ascii="Arial" w:hAnsi="Arial"/>
          <w:sz w:val="22"/>
          <w:szCs w:val="22"/>
        </w:rPr>
        <w:t>, São Vicente - São Vicente, Itajaí – 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177,48</w:t>
            </w:r>
            <w:r>
              <w:rPr>
                <w:rFonts w:cs="Arial" w:ascii="Arial" w:hAnsi="Arial"/>
                <w:sz w:val="22"/>
                <w:szCs w:val="22"/>
              </w:rPr>
              <w:t xml:space="preserve">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A obra em questão se dá devido a cobertura com telha tipo Kalhetão onde estão localizada a salas de especialista e parte do pátio de ligação entre os blocos estar comprometida por abaulamento causando acumulo de águam, infiltrações e goteiras, não sendo mais possível a manutenção da mesma. Para substituição deste telhado será executado um prolongamento nos mesmos moldes da cobertura do pátio, com estrutura metálica e telha termoacústica, além da substituição dos forros, colocação de calhas e drenagem e execução dos oitoes de vedação nas laterais.</w:t>
      </w:r>
    </w:p>
    <w:p>
      <w:pPr>
        <w:pStyle w:val="Normal"/>
        <w:tabs>
          <w:tab w:val="left" w:pos="851" w:leader="none"/>
        </w:tabs>
        <w:spacing w:lineRule="auto" w:line="276" w:before="0" w:after="120"/>
        <w:ind w:right="-89"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22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4"/>
                <w:szCs w:val="24"/>
              </w:rPr>
            </w:pPr>
            <w:r>
              <w:rPr>
                <w:rFonts w:cs="Arial" w:ascii="Arial" w:hAnsi="Arial"/>
                <w:b/>
                <w:color w:val="000000"/>
                <w:sz w:val="24"/>
                <w:szCs w:val="24"/>
              </w:rPr>
              <w:t>REFORMA DA COBERTURA CENTRAL DA EB MAR. OLIMPIO FALCONIERI DA CUNHA</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r>
        <w:rPr>
          <w:rFonts w:cs="Arial" w:ascii="Arial" w:hAnsi="Arial"/>
          <w:b/>
          <w:bCs/>
          <w:sz w:val="22"/>
          <w:szCs w:val="22"/>
        </w:rPr>
        <w:t>77.044,85</w:t>
      </w:r>
      <w:r>
        <w:rPr>
          <w:rFonts w:cs="Arial" w:ascii="Arial" w:hAnsi="Arial"/>
          <w:b/>
          <w:bCs/>
          <w:sz w:val="22"/>
          <w:szCs w:val="22"/>
        </w:rPr>
        <w:t xml:space="preserve"> </w:t>
      </w:r>
      <w:r>
        <w:rPr>
          <w:rFonts w:cs="Arial" w:ascii="Arial" w:hAnsi="Arial"/>
          <w:bCs/>
          <w:sz w:val="22"/>
          <w:szCs w:val="22"/>
        </w:rPr>
        <w:t>(</w:t>
      </w:r>
      <w:r>
        <w:rPr>
          <w:rFonts w:cs="Arial" w:ascii="Arial" w:hAnsi="Arial"/>
          <w:bCs/>
          <w:sz w:val="22"/>
          <w:szCs w:val="22"/>
        </w:rPr>
        <w:t xml:space="preserve">Setenta e sete mil, quarenta e quatro reais e oitenta e cinco </w:t>
      </w:r>
      <w:r>
        <w:rPr>
          <w:rFonts w:cs="Arial" w:ascii="Arial" w:hAnsi="Arial"/>
          <w:bCs/>
          <w:sz w:val="22"/>
          <w:szCs w:val="22"/>
        </w:rPr>
        <w:t xml:space="preserve">), os quais correrão por conta do exercício orçamentário do ano de 2018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
    </w:p>
    <w:tbl>
      <w:tblPr>
        <w:tblW w:w="8505" w:type="dxa"/>
        <w:jc w:val="lef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4254"/>
        <w:gridCol w:w="4250"/>
      </w:tblGrid>
      <w:tr>
        <w:trPr>
          <w:tblHeader w:val="true"/>
          <w:trHeight w:val="624" w:hRule="atLeast"/>
          <w:cantSplit w:val="true"/>
        </w:trPr>
        <w:tc>
          <w:tcPr>
            <w:tcW w:w="850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ESPECIFICAÇÃO DOS SERVIÇO DE RELEVÂNCIA TÉCNICA</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 xml:space="preserve">Execução de Cobertura </w:t>
            </w:r>
            <w:r>
              <w:rPr>
                <w:rFonts w:cs="Arial" w:ascii="Arial" w:hAnsi="Arial"/>
                <w:b/>
                <w:bCs/>
                <w:sz w:val="22"/>
                <w:szCs w:val="22"/>
              </w:rPr>
              <w:t>Metálica</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rPr>
              <w:t>85</w:t>
            </w:r>
            <w:r>
              <w:rPr>
                <w:rFonts w:ascii="Arial" w:hAnsi="Arial"/>
                <w:b/>
                <w:bCs/>
              </w:rPr>
              <w:t xml:space="preserve">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25" w:type="dxa"/>
        <w:jc w:val="left"/>
        <w:tblInd w:w="-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6570"/>
        <w:gridCol w:w="2654"/>
      </w:tblGrid>
      <w:tr>
        <w:trPr>
          <w:trHeight w:val="525"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color w:val="000000"/>
                <w:sz w:val="22"/>
                <w:szCs w:val="22"/>
              </w:rPr>
              <w:t xml:space="preserve">REFORMA DA COBERTURA CENTRAL DA </w:t>
            </w:r>
          </w:p>
          <w:p>
            <w:pPr>
              <w:pStyle w:val="Normal"/>
              <w:tabs>
                <w:tab w:val="left" w:pos="851" w:leader="none"/>
              </w:tabs>
              <w:spacing w:lineRule="auto" w:line="276" w:before="0" w:after="120"/>
              <w:jc w:val="center"/>
              <w:rPr>
                <w:sz w:val="22"/>
                <w:szCs w:val="22"/>
              </w:rPr>
            </w:pPr>
            <w:r>
              <w:rPr>
                <w:rFonts w:cs="Arial" w:ascii="Arial" w:hAnsi="Arial"/>
                <w:b/>
                <w:color w:val="000000"/>
                <w:sz w:val="22"/>
                <w:szCs w:val="22"/>
              </w:rPr>
              <w:t>EB MAR. OLIMPIO FALCONIERI DA CUNHA</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77.044,85</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0"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0"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tru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60</w:t>
      </w:r>
      <w:r>
        <w:rPr>
          <w:rFonts w:cs="Arial" w:ascii="Arial" w:hAnsi="Arial"/>
          <w:b/>
          <w:bCs/>
          <w:sz w:val="22"/>
          <w:szCs w:val="22"/>
        </w:rPr>
        <w:t xml:space="preserve"> (</w:t>
      </w:r>
      <w:r>
        <w:rPr>
          <w:rFonts w:cs="Arial" w:ascii="Arial" w:hAnsi="Arial"/>
          <w:b/>
          <w:bCs/>
          <w:sz w:val="22"/>
          <w:szCs w:val="22"/>
        </w:rPr>
        <w:t>sessenta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120</w:t>
      </w:r>
      <w:r>
        <w:rPr>
          <w:rFonts w:cs="Arial" w:ascii="Arial" w:hAnsi="Arial"/>
          <w:b/>
          <w:bCs/>
          <w:sz w:val="22"/>
          <w:szCs w:val="22"/>
        </w:rPr>
        <w:t xml:space="preserve"> (</w:t>
      </w:r>
      <w:r>
        <w:rPr>
          <w:rFonts w:cs="Arial" w:ascii="Arial" w:hAnsi="Arial"/>
          <w:b/>
          <w:bCs/>
          <w:sz w:val="22"/>
          <w:szCs w:val="22"/>
        </w:rPr>
        <w:t>C</w:t>
      </w:r>
      <w:r>
        <w:rPr>
          <w:rFonts w:cs="Arial" w:ascii="Arial" w:hAnsi="Arial"/>
          <w:b/>
          <w:sz w:val="22"/>
          <w:szCs w:val="22"/>
        </w:rPr>
        <w:t>ento e vinte</w:t>
      </w:r>
      <w:r>
        <w:rPr>
          <w:rFonts w:cs="Arial" w:ascii="Arial" w:hAnsi="Arial"/>
          <w:b/>
          <w:sz w:val="22"/>
          <w:szCs w:val="22"/>
        </w:rPr>
        <w:t>)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4" w:name="__DdeLink__518_576160097"/>
      <w:bookmarkEnd w:id="4"/>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5" w:name="_Ref128369793"/>
      <w:bookmarkEnd w:id="5"/>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pP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6" w:name="_Toc176842519"/>
      <w:bookmarkStart w:id="7" w:name="_Toc176842561"/>
      <w:bookmarkStart w:id="8" w:name="_Toc176842631"/>
      <w:bookmarkStart w:id="9" w:name="_Toc176847504"/>
      <w:r>
        <w:rPr>
          <w:rFonts w:cs="Arial"/>
          <w:bCs w:val="false"/>
          <w:sz w:val="22"/>
          <w:szCs w:val="22"/>
        </w:rPr>
        <w:t>15.  DAS CONDIÇÕES DE SEGURANÇA DO TRABALHO</w:t>
      </w:r>
      <w:bookmarkEnd w:id="6"/>
      <w:bookmarkEnd w:id="7"/>
      <w:bookmarkEnd w:id="8"/>
      <w:bookmarkEnd w:id="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0" w:name="_Toc176842520"/>
      <w:bookmarkStart w:id="11" w:name="_Toc176842562"/>
      <w:bookmarkStart w:id="12" w:name="_Toc176842632"/>
      <w:bookmarkStart w:id="13" w:name="_Toc176847505"/>
      <w:r>
        <w:rPr>
          <w:rFonts w:cs="Arial"/>
          <w:bCs w:val="false"/>
          <w:sz w:val="22"/>
          <w:szCs w:val="22"/>
        </w:rPr>
        <w:t>DA PARALISAÇÃO DOS SERVIÇOS</w:t>
      </w:r>
      <w:bookmarkEnd w:id="10"/>
      <w:bookmarkEnd w:id="11"/>
      <w:bookmarkEnd w:id="12"/>
      <w:bookmarkEnd w:id="13"/>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4" w:name="_Toc176842521"/>
      <w:bookmarkStart w:id="15" w:name="_Toc176842563"/>
      <w:bookmarkStart w:id="16" w:name="_Toc176842633"/>
      <w:bookmarkStart w:id="17" w:name="_Toc176847506"/>
      <w:r>
        <w:rPr>
          <w:rFonts w:cs="Arial"/>
          <w:bCs w:val="false"/>
          <w:sz w:val="22"/>
          <w:szCs w:val="22"/>
        </w:rPr>
        <w:t>DO RECEBIMENTO DA OBRA, SERVIÇOS E MATERIAIS</w:t>
      </w:r>
      <w:bookmarkEnd w:id="14"/>
      <w:bookmarkEnd w:id="15"/>
      <w:bookmarkEnd w:id="16"/>
      <w:bookmarkEnd w:id="17"/>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 xml:space="preserve">Itajaí, </w:t>
      </w:r>
      <w:r>
        <w:rPr>
          <w:rFonts w:cs="Arial" w:ascii="Arial" w:hAnsi="Arial"/>
          <w:sz w:val="22"/>
          <w:szCs w:val="22"/>
        </w:rPr>
        <w:t>07</w:t>
      </w:r>
      <w:r>
        <w:rPr>
          <w:rFonts w:cs="Arial" w:ascii="Arial" w:hAnsi="Arial"/>
          <w:sz w:val="22"/>
          <w:szCs w:val="22"/>
        </w:rPr>
        <w:t xml:space="preserve"> de </w:t>
      </w:r>
      <w:r>
        <w:rPr>
          <w:rFonts w:cs="Arial" w:ascii="Arial" w:hAnsi="Arial"/>
          <w:sz w:val="22"/>
          <w:szCs w:val="22"/>
        </w:rPr>
        <w:t>junho</w:t>
      </w:r>
      <w:r>
        <w:rPr>
          <w:rFonts w:cs="Arial" w:ascii="Arial" w:hAnsi="Arial"/>
          <w:sz w:val="22"/>
          <w:szCs w:val="22"/>
        </w:rPr>
        <w:t xml:space="preserve"> de 2018.</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bookmarkStart w:id="18" w:name="_GoBack"/>
      <w:bookmarkStart w:id="19" w:name="_GoBack"/>
      <w:bookmarkEnd w:id="19"/>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73"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rFonts w:ascii="Arial" w:hAnsi="Arial" w:eastAsia="Calibri" w:cs="Arial"/>
              </w:rPr>
            </w:pPr>
            <w:r>
              <w:rPr>
                <w:rFonts w:eastAsia="Calibri" w:cs="Arial" w:ascii="Arial" w:hAnsi="Arial"/>
              </w:rPr>
              <w:t>Gerente de Projetos Arquitetônicos</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791" y="0"/>
              <wp:lineTo x="-791" y="20042"/>
              <wp:lineTo x="21600" y="20042"/>
              <wp:lineTo x="21600" y="0"/>
              <wp:lineTo x="-79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Application>LibreOffice/5.2.4.2$Windows_x86 LibreOffice_project/3d5603e1122f0f102b62521720ab13a38a4e0eb0</Application>
  <Pages>11</Pages>
  <Words>3737</Words>
  <Characters>21658</Characters>
  <CharactersWithSpaces>25245</CharactersWithSpaces>
  <Paragraphs>181</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2018-06-11T17:51:46Z</cp:lastPrinted>
  <dcterms:modified xsi:type="dcterms:W3CDTF">2018-06-11T17:51:53Z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